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7665" w14:textId="77777777" w:rsidR="00072E9C" w:rsidRDefault="00072E9C" w:rsidP="001E0BF2"/>
    <w:p w14:paraId="42196883" w14:textId="3076B8B6" w:rsidR="00A50FC4" w:rsidRDefault="00A50FC4" w:rsidP="00A50FC4">
      <w:pPr>
        <w:jc w:val="right"/>
      </w:pPr>
      <w:r>
        <w:t xml:space="preserve">Warszawa, </w:t>
      </w:r>
      <w:r w:rsidR="00505469">
        <w:t>12</w:t>
      </w:r>
      <w:r w:rsidR="00486E57">
        <w:t>.</w:t>
      </w:r>
      <w:r w:rsidR="002A4694">
        <w:t>09</w:t>
      </w:r>
      <w:r w:rsidR="00486E57">
        <w:t>.2022</w:t>
      </w:r>
    </w:p>
    <w:p w14:paraId="63CB4813" w14:textId="77777777" w:rsidR="00A50FC4" w:rsidRDefault="00A50FC4" w:rsidP="00A50FC4">
      <w:pPr>
        <w:jc w:val="both"/>
      </w:pPr>
    </w:p>
    <w:p w14:paraId="75DA80A6" w14:textId="0E9D1051" w:rsidR="002A4694" w:rsidRDefault="002A4694" w:rsidP="00486E57">
      <w:pPr>
        <w:spacing w:after="120" w:line="276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Symfonia Śniadania HR – nowa inicjatywa bezpłatnych szkoleń </w:t>
      </w:r>
      <w:r w:rsidRPr="002A4694">
        <w:rPr>
          <w:rFonts w:ascii="Segoe UI" w:hAnsi="Segoe UI" w:cs="Segoe UI"/>
          <w:b/>
          <w:bCs/>
          <w:sz w:val="28"/>
          <w:szCs w:val="28"/>
        </w:rPr>
        <w:t xml:space="preserve">dla firm z sektora MŚP </w:t>
      </w:r>
    </w:p>
    <w:p w14:paraId="14DEFF02" w14:textId="1D6C5757" w:rsidR="002A4694" w:rsidRPr="003704A0" w:rsidRDefault="00381F35" w:rsidP="002A4694">
      <w:pPr>
        <w:spacing w:after="120" w:line="240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9232A6">
        <w:rPr>
          <w:rFonts w:ascii="Segoe UI" w:hAnsi="Segoe UI" w:cs="Segoe UI"/>
          <w:b/>
          <w:bCs/>
        </w:rPr>
        <w:t>16 września</w:t>
      </w:r>
      <w:r w:rsidR="002A4694" w:rsidRPr="009232A6">
        <w:rPr>
          <w:rFonts w:ascii="Segoe UI" w:hAnsi="Segoe UI" w:cs="Segoe UI"/>
          <w:b/>
          <w:bCs/>
        </w:rPr>
        <w:t xml:space="preserve"> 2022 r</w:t>
      </w:r>
      <w:r w:rsidRPr="009232A6">
        <w:rPr>
          <w:rFonts w:ascii="Segoe UI" w:hAnsi="Segoe UI" w:cs="Segoe UI"/>
          <w:b/>
          <w:bCs/>
        </w:rPr>
        <w:t>.</w:t>
      </w:r>
      <w:r w:rsidR="002A4694" w:rsidRPr="009232A6">
        <w:rPr>
          <w:rFonts w:ascii="Segoe UI" w:hAnsi="Segoe UI" w:cs="Segoe UI"/>
          <w:b/>
          <w:bCs/>
        </w:rPr>
        <w:t xml:space="preserve"> Symfonia </w:t>
      </w:r>
      <w:r w:rsidR="00AE13FE" w:rsidRPr="009232A6">
        <w:rPr>
          <w:rFonts w:ascii="Segoe UI" w:hAnsi="Segoe UI" w:cs="Segoe UI"/>
          <w:b/>
          <w:bCs/>
        </w:rPr>
        <w:t>rozpoczyna</w:t>
      </w:r>
      <w:r w:rsidR="002A4694" w:rsidRPr="009232A6">
        <w:rPr>
          <w:rFonts w:ascii="Segoe UI" w:hAnsi="Segoe UI" w:cs="Segoe UI"/>
          <w:b/>
          <w:bCs/>
        </w:rPr>
        <w:t xml:space="preserve"> bezpłatn</w:t>
      </w:r>
      <w:r w:rsidR="00AE13FE" w:rsidRPr="009232A6">
        <w:rPr>
          <w:rFonts w:ascii="Segoe UI" w:hAnsi="Segoe UI" w:cs="Segoe UI"/>
          <w:b/>
          <w:bCs/>
        </w:rPr>
        <w:t>e</w:t>
      </w:r>
      <w:r w:rsidR="002A4694" w:rsidRPr="009232A6">
        <w:rPr>
          <w:rFonts w:ascii="Segoe UI" w:hAnsi="Segoe UI" w:cs="Segoe UI"/>
          <w:b/>
          <w:bCs/>
        </w:rPr>
        <w:t xml:space="preserve"> spotka</w:t>
      </w:r>
      <w:r w:rsidR="007923FA" w:rsidRPr="009232A6">
        <w:rPr>
          <w:rFonts w:ascii="Segoe UI" w:hAnsi="Segoe UI" w:cs="Segoe UI"/>
          <w:b/>
          <w:bCs/>
        </w:rPr>
        <w:t>nia</w:t>
      </w:r>
      <w:r w:rsidR="002A4694" w:rsidRPr="009232A6">
        <w:rPr>
          <w:rFonts w:ascii="Segoe UI" w:hAnsi="Segoe UI" w:cs="Segoe UI"/>
          <w:b/>
          <w:bCs/>
        </w:rPr>
        <w:t xml:space="preserve"> szkoleniow</w:t>
      </w:r>
      <w:r w:rsidR="007923FA" w:rsidRPr="009232A6">
        <w:rPr>
          <w:rFonts w:ascii="Segoe UI" w:hAnsi="Segoe UI" w:cs="Segoe UI"/>
          <w:b/>
          <w:bCs/>
        </w:rPr>
        <w:t>e</w:t>
      </w:r>
      <w:r w:rsidR="002A4694" w:rsidRPr="009232A6">
        <w:rPr>
          <w:rFonts w:ascii="Segoe UI" w:hAnsi="Segoe UI" w:cs="Segoe UI"/>
          <w:b/>
          <w:bCs/>
        </w:rPr>
        <w:t xml:space="preserve"> „Symfonia Śniadania HR”, poświęcon</w:t>
      </w:r>
      <w:r w:rsidR="001F7A07" w:rsidRPr="009232A6">
        <w:rPr>
          <w:rFonts w:ascii="Segoe UI" w:hAnsi="Segoe UI" w:cs="Segoe UI"/>
          <w:b/>
          <w:bCs/>
        </w:rPr>
        <w:t>e</w:t>
      </w:r>
      <w:r w:rsidR="002A4694" w:rsidRPr="009232A6">
        <w:rPr>
          <w:rFonts w:ascii="Segoe UI" w:hAnsi="Segoe UI" w:cs="Segoe UI"/>
          <w:b/>
          <w:bCs/>
        </w:rPr>
        <w:t xml:space="preserve"> najnowszym trendom i przepisom w obszarze Human </w:t>
      </w:r>
      <w:r w:rsidR="0057144C" w:rsidRPr="009232A6">
        <w:rPr>
          <w:rFonts w:ascii="Segoe UI" w:hAnsi="Segoe UI" w:cs="Segoe UI"/>
          <w:b/>
          <w:bCs/>
        </w:rPr>
        <w:t>Resources</w:t>
      </w:r>
      <w:r w:rsidR="002A4694" w:rsidRPr="009232A6">
        <w:rPr>
          <w:rFonts w:ascii="Segoe UI" w:hAnsi="Segoe UI" w:cs="Segoe UI"/>
          <w:b/>
          <w:bCs/>
        </w:rPr>
        <w:t>. Pierwsze spotkani</w:t>
      </w:r>
      <w:r w:rsidR="001F7A07" w:rsidRPr="009232A6">
        <w:rPr>
          <w:rFonts w:ascii="Segoe UI" w:hAnsi="Segoe UI" w:cs="Segoe UI"/>
          <w:b/>
          <w:bCs/>
        </w:rPr>
        <w:t>e</w:t>
      </w:r>
      <w:r w:rsidR="002A4694" w:rsidRPr="009232A6">
        <w:rPr>
          <w:rFonts w:ascii="Segoe UI" w:hAnsi="Segoe UI" w:cs="Segoe UI"/>
          <w:b/>
          <w:bCs/>
        </w:rPr>
        <w:t xml:space="preserve"> </w:t>
      </w:r>
      <w:r w:rsidR="001F7A07" w:rsidRPr="009232A6">
        <w:rPr>
          <w:rFonts w:ascii="Segoe UI" w:hAnsi="Segoe UI" w:cs="Segoe UI"/>
          <w:b/>
          <w:bCs/>
        </w:rPr>
        <w:t>odbędzie</w:t>
      </w:r>
      <w:r w:rsidR="002A4694" w:rsidRPr="009232A6">
        <w:rPr>
          <w:rFonts w:ascii="Segoe UI" w:hAnsi="Segoe UI" w:cs="Segoe UI"/>
          <w:b/>
          <w:bCs/>
        </w:rPr>
        <w:t xml:space="preserve"> się </w:t>
      </w:r>
      <w:r w:rsidR="001F7A07" w:rsidRPr="009232A6">
        <w:rPr>
          <w:rFonts w:ascii="Segoe UI" w:hAnsi="Segoe UI" w:cs="Segoe UI"/>
          <w:b/>
          <w:bCs/>
        </w:rPr>
        <w:t xml:space="preserve">16.09 </w:t>
      </w:r>
      <w:r w:rsidR="002A4694" w:rsidRPr="009232A6">
        <w:rPr>
          <w:rFonts w:ascii="Segoe UI" w:hAnsi="Segoe UI" w:cs="Segoe UI"/>
          <w:b/>
          <w:bCs/>
        </w:rPr>
        <w:t>w Warszawie</w:t>
      </w:r>
      <w:r w:rsidR="001F7A07" w:rsidRPr="009232A6">
        <w:rPr>
          <w:rFonts w:ascii="Segoe UI" w:hAnsi="Segoe UI" w:cs="Segoe UI"/>
          <w:b/>
          <w:bCs/>
        </w:rPr>
        <w:t>, następne 20.09</w:t>
      </w:r>
      <w:r w:rsidR="001C36DD" w:rsidRPr="009232A6">
        <w:rPr>
          <w:rFonts w:ascii="Segoe UI" w:hAnsi="Segoe UI" w:cs="Segoe UI"/>
          <w:b/>
          <w:bCs/>
        </w:rPr>
        <w:t xml:space="preserve"> w</w:t>
      </w:r>
      <w:r w:rsidR="002A4694" w:rsidRPr="009232A6">
        <w:rPr>
          <w:rFonts w:ascii="Segoe UI" w:hAnsi="Segoe UI" w:cs="Segoe UI"/>
          <w:b/>
          <w:bCs/>
        </w:rPr>
        <w:t xml:space="preserve"> Gdańsku. Prowadzący wykłady eksperci skupią się na kluczowych aspektach zarządzania zasobami ludzkimi</w:t>
      </w:r>
      <w:r w:rsidR="002A4694" w:rsidRPr="003704A0">
        <w:rPr>
          <w:rFonts w:ascii="Segoe UI" w:hAnsi="Segoe UI" w:cs="Segoe UI"/>
          <w:b/>
          <w:bCs/>
        </w:rPr>
        <w:t xml:space="preserve"> w obecnej sytuacji gospodarczej i społecznej. Zaprezentują tendencje rynkowe oraz rozwiązania, które skutecznie wspierają działy HR w pozyskaniu i utrzymaniu wartościowych pracowników.</w:t>
      </w:r>
      <w:r w:rsidR="002A4694" w:rsidRPr="003704A0"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14:paraId="21032B61" w14:textId="77777777" w:rsidR="002A4694" w:rsidRPr="003704A0" w:rsidRDefault="002A4694" w:rsidP="002A4694">
      <w:pPr>
        <w:spacing w:after="120" w:line="240" w:lineRule="auto"/>
        <w:jc w:val="both"/>
        <w:rPr>
          <w:rFonts w:ascii="Segoe UI" w:hAnsi="Segoe UI" w:cs="Segoe UI"/>
        </w:rPr>
      </w:pPr>
      <w:r w:rsidRPr="003704A0">
        <w:rPr>
          <w:rFonts w:ascii="Segoe UI" w:hAnsi="Segoe UI" w:cs="Segoe UI"/>
        </w:rPr>
        <w:t xml:space="preserve">Grupa Symfonia, dzięki rozbudowaniu swojego portfolio o szeroko rozumianą ofertę oprogramowania do tzw. miękkiego HR oraz do obsługi kadr i płac, intensyfikuje działania edukacyjne i szkoleniowe. </w:t>
      </w:r>
    </w:p>
    <w:p w14:paraId="11A3EB61" w14:textId="77777777" w:rsidR="002A4694" w:rsidRPr="003704A0" w:rsidRDefault="002A4694" w:rsidP="002A4694">
      <w:pPr>
        <w:spacing w:after="120" w:line="240" w:lineRule="auto"/>
        <w:jc w:val="both"/>
        <w:rPr>
          <w:rFonts w:ascii="Segoe UI" w:hAnsi="Segoe UI" w:cs="Segoe UI"/>
        </w:rPr>
      </w:pPr>
      <w:r w:rsidRPr="003704A0">
        <w:rPr>
          <w:rFonts w:ascii="Segoe UI" w:hAnsi="Segoe UI" w:cs="Segoe UI"/>
        </w:rPr>
        <w:t xml:space="preserve">Przenoszenie procesów HR do chmury, zarządzanie zespołami rozproszonymi, well-being w dobie cyfryzacji, ale także zagadnienia prawne: wpływ dyrektywy unijnej na kwestie kadrowe, zestawienie   zmian prawnych 2022/2023 – takie między innymi tematy będą omawiane przez ekspertów podczas bezpłatnych spotkań dla profesjonalistów HR. </w:t>
      </w:r>
    </w:p>
    <w:p w14:paraId="5D727973" w14:textId="69C741A3" w:rsidR="00E35120" w:rsidRPr="003704A0" w:rsidRDefault="002A4694" w:rsidP="002A4694">
      <w:pPr>
        <w:spacing w:after="120" w:line="240" w:lineRule="auto"/>
        <w:jc w:val="both"/>
        <w:rPr>
          <w:rFonts w:ascii="Segoe UI" w:hAnsi="Segoe UI" w:cs="Segoe UI"/>
        </w:rPr>
      </w:pPr>
      <w:r w:rsidRPr="009232A6">
        <w:rPr>
          <w:rFonts w:ascii="Segoe UI" w:hAnsi="Segoe UI" w:cs="Segoe UI"/>
        </w:rPr>
        <w:t xml:space="preserve">Pierwsze spotkanie odbędzie się 16 września w </w:t>
      </w:r>
      <w:r w:rsidR="00D718C3" w:rsidRPr="009232A6">
        <w:rPr>
          <w:rFonts w:ascii="Segoe UI" w:hAnsi="Segoe UI" w:cs="Segoe UI"/>
        </w:rPr>
        <w:t>warszawskim Koneserze,</w:t>
      </w:r>
      <w:r w:rsidRPr="009232A6">
        <w:rPr>
          <w:rFonts w:ascii="Segoe UI" w:hAnsi="Segoe UI" w:cs="Segoe UI"/>
        </w:rPr>
        <w:t xml:space="preserve"> następne 20 września w </w:t>
      </w:r>
      <w:r w:rsidR="00D718C3" w:rsidRPr="009232A6">
        <w:rPr>
          <w:rFonts w:ascii="Segoe UI" w:hAnsi="Segoe UI" w:cs="Segoe UI"/>
        </w:rPr>
        <w:t>Gdańsk Olivia Star</w:t>
      </w:r>
      <w:r w:rsidRPr="009232A6">
        <w:rPr>
          <w:rFonts w:ascii="Segoe UI" w:hAnsi="Segoe UI" w:cs="Segoe UI"/>
        </w:rPr>
        <w:t>. Celem</w:t>
      </w:r>
      <w:r w:rsidRPr="003704A0">
        <w:rPr>
          <w:rFonts w:ascii="Segoe UI" w:hAnsi="Segoe UI" w:cs="Segoe UI"/>
        </w:rPr>
        <w:t xml:space="preserve"> ekspertów HR, którzy poprowadzą szkolenia jest pokazanie nowych możliwości usprawnienia procesów zarządzania zasobami ludzkim, poprzez wykorzystanie aktualnych i skutecznych narzędzi technologicznych.</w:t>
      </w:r>
    </w:p>
    <w:p w14:paraId="02692CF9" w14:textId="65494EBA" w:rsidR="00E35120" w:rsidRPr="003704A0" w:rsidRDefault="00E35120" w:rsidP="002A4694">
      <w:pPr>
        <w:spacing w:after="120" w:line="240" w:lineRule="auto"/>
        <w:jc w:val="both"/>
        <w:rPr>
          <w:rFonts w:ascii="Segoe UI" w:hAnsi="Segoe UI" w:cs="Segoe UI"/>
        </w:rPr>
      </w:pPr>
      <w:r w:rsidRPr="007340E1">
        <w:rPr>
          <w:rFonts w:ascii="Segoe UI" w:hAnsi="Segoe UI" w:cs="Segoe UI"/>
          <w:i/>
          <w:iCs/>
        </w:rPr>
        <w:t>Czy przyszłość HR jest w chmurze? Jak być bliżej pracownika w sytuacji, gdy pracujemy zdalnie, hybrydowo, a nawet decydujemy się na zatrudnianie pracowników z odległych miast? Zadaniem dostawców oprogramowania jest wspieranie firm w dostosowaniu się do nowej rzeczywistości</w:t>
      </w:r>
      <w:r w:rsidR="005044A5" w:rsidRPr="007340E1">
        <w:rPr>
          <w:rFonts w:ascii="Segoe UI" w:hAnsi="Segoe UI" w:cs="Segoe UI"/>
          <w:i/>
          <w:iCs/>
        </w:rPr>
        <w:t>. Nie tylko w kontekście zmian prawnych, nowych regulacji, ale przede wszystkim w doradzaniu, w jaki sposób można przemodelować zarządzanie zasobami ludzkimi tak, aby maksymalnie wykorzystać ich potencjał. Liczymy, że wiedza, którą podzielimy się z uczestnikami Śniadań HR przełoży się na wymierne efekty</w:t>
      </w:r>
      <w:r w:rsidR="005044A5" w:rsidRPr="007340E1">
        <w:rPr>
          <w:rFonts w:ascii="Segoe UI" w:hAnsi="Segoe UI" w:cs="Segoe UI"/>
        </w:rPr>
        <w:t xml:space="preserve"> – </w:t>
      </w:r>
      <w:r w:rsidR="00497BFB" w:rsidRPr="007340E1">
        <w:rPr>
          <w:rFonts w:ascii="Segoe UI" w:hAnsi="Segoe UI" w:cs="Segoe UI"/>
        </w:rPr>
        <w:t>komentuje Małgorzata</w:t>
      </w:r>
      <w:r w:rsidR="00CC30DF" w:rsidRPr="007340E1">
        <w:rPr>
          <w:rFonts w:ascii="Segoe UI" w:hAnsi="Segoe UI" w:cs="Segoe UI"/>
        </w:rPr>
        <w:t xml:space="preserve"> Grunc, ekspert Symfonii w obszarze HR.</w:t>
      </w:r>
      <w:r w:rsidR="00CC30DF" w:rsidRPr="003704A0">
        <w:rPr>
          <w:rFonts w:ascii="Segoe UI" w:hAnsi="Segoe UI" w:cs="Segoe UI"/>
        </w:rPr>
        <w:t xml:space="preserve"> </w:t>
      </w:r>
    </w:p>
    <w:p w14:paraId="37C51970" w14:textId="15458AD5" w:rsidR="00486E57" w:rsidRDefault="002A4694" w:rsidP="002A4694">
      <w:pPr>
        <w:spacing w:after="120" w:line="240" w:lineRule="auto"/>
        <w:jc w:val="both"/>
        <w:rPr>
          <w:rFonts w:ascii="Segoe UI" w:hAnsi="Segoe UI" w:cs="Segoe UI"/>
        </w:rPr>
      </w:pPr>
      <w:r w:rsidRPr="003704A0">
        <w:rPr>
          <w:rFonts w:ascii="Segoe UI" w:hAnsi="Segoe UI" w:cs="Segoe UI"/>
        </w:rPr>
        <w:t xml:space="preserve">Szczegółowy program spotkań Symfonia Śniadania HR </w:t>
      </w:r>
      <w:r w:rsidR="001500B2">
        <w:rPr>
          <w:rFonts w:ascii="Segoe UI" w:hAnsi="Segoe UI" w:cs="Segoe UI"/>
        </w:rPr>
        <w:t>dostępny jest</w:t>
      </w:r>
      <w:r w:rsidRPr="003704A0">
        <w:rPr>
          <w:rFonts w:ascii="Segoe UI" w:hAnsi="Segoe UI" w:cs="Segoe UI"/>
        </w:rPr>
        <w:t xml:space="preserve"> na </w:t>
      </w:r>
      <w:hyperlink>
        <w:r w:rsidRPr="003704A0">
          <w:rPr>
            <w:rFonts w:ascii="Segoe UI" w:eastAsia="Calibri" w:hAnsi="Segoe UI" w:cs="Segoe UI"/>
            <w:color w:val="0563C1"/>
            <w:u w:val="single"/>
          </w:rPr>
          <w:t>Symfonia Śniadanie HR Warszawa</w:t>
        </w:r>
      </w:hyperlink>
      <w:r w:rsidRPr="003704A0">
        <w:rPr>
          <w:rFonts w:ascii="Segoe UI" w:hAnsi="Segoe UI" w:cs="Segoe UI"/>
        </w:rPr>
        <w:t xml:space="preserve"> oraz </w:t>
      </w:r>
      <w:hyperlink r:id="rId8">
        <w:r w:rsidRPr="003704A0">
          <w:rPr>
            <w:rFonts w:ascii="Segoe UI" w:eastAsia="Calibri" w:hAnsi="Segoe UI" w:cs="Segoe UI"/>
            <w:color w:val="0563C1"/>
            <w:u w:val="single"/>
          </w:rPr>
          <w:t>Symfonia Śniadanie HR Gdańsk</w:t>
        </w:r>
      </w:hyperlink>
      <w:r w:rsidRPr="003704A0">
        <w:rPr>
          <w:rFonts w:ascii="Segoe UI" w:hAnsi="Segoe UI" w:cs="Segoe UI"/>
        </w:rPr>
        <w:t>.</w:t>
      </w:r>
    </w:p>
    <w:p w14:paraId="674FEBF2" w14:textId="09A53AE2" w:rsidR="003704A0" w:rsidRDefault="003704A0" w:rsidP="002A4694">
      <w:pPr>
        <w:spacing w:after="120" w:line="240" w:lineRule="auto"/>
        <w:jc w:val="both"/>
        <w:rPr>
          <w:rFonts w:ascii="Segoe UI" w:hAnsi="Segoe UI" w:cs="Segoe UI"/>
        </w:rPr>
      </w:pPr>
      <w:r w:rsidRPr="003704A0">
        <w:rPr>
          <w:rFonts w:ascii="Segoe UI" w:hAnsi="Segoe UI" w:cs="Segoe UI"/>
        </w:rPr>
        <w:t>Symfonia w obszarze HR oferuje dwa rozwiązania – jeden z najlepszych w Polsce systemów w obszarze HR, platformę chmurową oraz desktopowy program do obsługi kadr i płac. Platforma pozwala na obsługę między innymi procesów rekrutacji, szkoleń oraz e-learning, wyznaczanie i monitorowanie celów, oceny okresowe czy rozwój pracowników. Towarzysząca platformie aplikacja umożliwia analizowania najważniejszych procesów HR w organizacjach dzięki wbudowanym mechanizmom sztucznej inteligencji.</w:t>
      </w:r>
    </w:p>
    <w:p w14:paraId="3A991DC2" w14:textId="77777777" w:rsidR="003704A0" w:rsidRPr="003704A0" w:rsidRDefault="003704A0" w:rsidP="002A4694">
      <w:pPr>
        <w:spacing w:after="120" w:line="240" w:lineRule="auto"/>
        <w:jc w:val="both"/>
        <w:rPr>
          <w:rFonts w:ascii="Segoe UI" w:hAnsi="Segoe UI" w:cs="Segoe UI"/>
          <w:b/>
          <w:bCs/>
        </w:rPr>
      </w:pPr>
    </w:p>
    <w:p w14:paraId="1A06D663" w14:textId="77777777" w:rsidR="00A50FC4" w:rsidRPr="00486E57" w:rsidRDefault="00A50FC4" w:rsidP="00486E57">
      <w:pPr>
        <w:spacing w:after="120" w:line="276" w:lineRule="auto"/>
        <w:jc w:val="both"/>
        <w:rPr>
          <w:rFonts w:ascii="Segoe UI" w:hAnsi="Segoe UI" w:cs="Segoe UI"/>
          <w:b/>
          <w:bCs/>
        </w:rPr>
      </w:pPr>
      <w:r w:rsidRPr="00486E57">
        <w:rPr>
          <w:rFonts w:ascii="Segoe UI" w:hAnsi="Segoe UI" w:cs="Segoe UI"/>
          <w:b/>
          <w:bCs/>
        </w:rPr>
        <w:t>Kontakt dla mediów:</w:t>
      </w:r>
    </w:p>
    <w:p w14:paraId="135B65A4" w14:textId="53BC9656" w:rsidR="00A50FC4" w:rsidRPr="00E35120" w:rsidRDefault="002A4694" w:rsidP="00486E57">
      <w:pPr>
        <w:spacing w:after="0" w:line="276" w:lineRule="auto"/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</w:rPr>
        <w:t>Aleksandra Ziębka</w:t>
      </w:r>
      <w:r w:rsidR="00A50FC4" w:rsidRPr="00486E57">
        <w:rPr>
          <w:rFonts w:ascii="Segoe UI" w:hAnsi="Segoe UI" w:cs="Segoe UI"/>
        </w:rPr>
        <w:t xml:space="preserve">, </w:t>
      </w:r>
      <w:r w:rsidR="00F00437" w:rsidRPr="00F00437">
        <w:rPr>
          <w:rFonts w:ascii="Segoe UI" w:hAnsi="Segoe UI" w:cs="Segoe UI"/>
        </w:rPr>
        <w:t xml:space="preserve">Ekspert ds. </w:t>
      </w:r>
      <w:r w:rsidR="00F00437" w:rsidRPr="00E35120">
        <w:rPr>
          <w:rFonts w:ascii="Segoe UI" w:hAnsi="Segoe UI" w:cs="Segoe UI"/>
          <w:lang w:val="en-US"/>
        </w:rPr>
        <w:t>PR</w:t>
      </w:r>
      <w:r w:rsidR="00A50FC4" w:rsidRPr="00E35120">
        <w:rPr>
          <w:rFonts w:ascii="Segoe UI" w:hAnsi="Segoe UI" w:cs="Segoe UI"/>
          <w:lang w:val="en-US"/>
        </w:rPr>
        <w:t>, Symfonia</w:t>
      </w:r>
    </w:p>
    <w:p w14:paraId="3456F79B" w14:textId="46D22F9B" w:rsidR="00A50FC4" w:rsidRPr="00486E57" w:rsidRDefault="00A50FC4" w:rsidP="00486E57">
      <w:pPr>
        <w:spacing w:after="120" w:line="276" w:lineRule="auto"/>
        <w:jc w:val="both"/>
        <w:rPr>
          <w:rFonts w:ascii="Segoe UI" w:hAnsi="Segoe UI" w:cs="Segoe UI"/>
          <w:lang w:val="en-GB"/>
        </w:rPr>
      </w:pPr>
      <w:r w:rsidRPr="00486E57">
        <w:rPr>
          <w:rFonts w:ascii="Segoe UI" w:hAnsi="Segoe UI" w:cs="Segoe UI"/>
          <w:lang w:val="en-GB"/>
        </w:rPr>
        <w:t xml:space="preserve">e-mail: </w:t>
      </w:r>
      <w:hyperlink r:id="rId9" w:history="1">
        <w:r w:rsidR="003E4C5A" w:rsidRPr="009106E8">
          <w:rPr>
            <w:rStyle w:val="Hipercze"/>
            <w:rFonts w:ascii="Segoe UI" w:hAnsi="Segoe UI" w:cs="Segoe UI"/>
            <w:lang w:val="en-GB"/>
          </w:rPr>
          <w:t>aleksandra.ziebka@symfonia.pl</w:t>
        </w:r>
      </w:hyperlink>
      <w:r w:rsidR="00486E57">
        <w:rPr>
          <w:rFonts w:ascii="Segoe UI" w:hAnsi="Segoe UI" w:cs="Segoe UI"/>
          <w:lang w:val="en-GB"/>
        </w:rPr>
        <w:t xml:space="preserve"> </w:t>
      </w:r>
      <w:r w:rsidRPr="00486E57">
        <w:rPr>
          <w:rFonts w:ascii="Segoe UI" w:hAnsi="Segoe UI" w:cs="Segoe UI"/>
          <w:lang w:val="en-GB"/>
        </w:rPr>
        <w:t xml:space="preserve">  </w:t>
      </w:r>
    </w:p>
    <w:p w14:paraId="0765C38A" w14:textId="12887A65" w:rsidR="00A50FC4" w:rsidRPr="00486E57" w:rsidRDefault="00A50FC4" w:rsidP="00486E57">
      <w:pPr>
        <w:spacing w:after="0" w:line="276" w:lineRule="auto"/>
        <w:jc w:val="both"/>
        <w:rPr>
          <w:rFonts w:ascii="Segoe UI" w:hAnsi="Segoe UI" w:cs="Segoe UI"/>
          <w:lang w:val="en-GB"/>
        </w:rPr>
      </w:pPr>
      <w:r w:rsidRPr="00486E57">
        <w:rPr>
          <w:rFonts w:ascii="Segoe UI" w:hAnsi="Segoe UI" w:cs="Segoe UI"/>
          <w:lang w:val="en-GB"/>
        </w:rPr>
        <w:t xml:space="preserve">Marta Trzepla, </w:t>
      </w:r>
      <w:r w:rsidR="00AE7554">
        <w:rPr>
          <w:rFonts w:ascii="Segoe UI" w:hAnsi="Segoe UI" w:cs="Segoe UI"/>
          <w:lang w:val="en-GB"/>
        </w:rPr>
        <w:t>Communication</w:t>
      </w:r>
      <w:r w:rsidRPr="00486E57">
        <w:rPr>
          <w:rFonts w:ascii="Segoe UI" w:hAnsi="Segoe UI" w:cs="Segoe UI"/>
          <w:lang w:val="en-GB"/>
        </w:rPr>
        <w:t xml:space="preserve"> Manager, Monday </w:t>
      </w:r>
    </w:p>
    <w:p w14:paraId="660B2A85" w14:textId="5E2E6752" w:rsidR="00A50FC4" w:rsidRPr="009232A6" w:rsidRDefault="00A50FC4" w:rsidP="00486E57">
      <w:pPr>
        <w:spacing w:after="120" w:line="276" w:lineRule="auto"/>
        <w:jc w:val="both"/>
        <w:rPr>
          <w:rFonts w:ascii="Segoe UI" w:hAnsi="Segoe UI" w:cs="Segoe UI"/>
        </w:rPr>
      </w:pPr>
      <w:r w:rsidRPr="009232A6">
        <w:rPr>
          <w:rFonts w:ascii="Segoe UI" w:hAnsi="Segoe UI" w:cs="Segoe UI"/>
        </w:rPr>
        <w:t xml:space="preserve">tel.: +48 609 051 919, </w:t>
      </w:r>
      <w:hyperlink r:id="rId10" w:history="1">
        <w:r w:rsidR="00A86823" w:rsidRPr="009232A6">
          <w:rPr>
            <w:rStyle w:val="Hipercze"/>
            <w:rFonts w:ascii="Segoe UI" w:hAnsi="Segoe UI" w:cs="Segoe UI"/>
          </w:rPr>
          <w:t>marta.trzepla@mondaygroup.pl</w:t>
        </w:r>
      </w:hyperlink>
      <w:r w:rsidR="00486E57" w:rsidRPr="009232A6">
        <w:rPr>
          <w:rFonts w:ascii="Segoe UI" w:hAnsi="Segoe UI" w:cs="Segoe UI"/>
        </w:rPr>
        <w:t xml:space="preserve"> </w:t>
      </w:r>
    </w:p>
    <w:p w14:paraId="556B22A8" w14:textId="77777777" w:rsidR="00A50FC4" w:rsidRPr="009232A6" w:rsidRDefault="00A50FC4" w:rsidP="00486E57">
      <w:pPr>
        <w:spacing w:after="120" w:line="276" w:lineRule="auto"/>
        <w:jc w:val="both"/>
        <w:rPr>
          <w:rFonts w:ascii="Segoe UI" w:hAnsi="Segoe UI" w:cs="Segoe UI"/>
        </w:rPr>
      </w:pPr>
    </w:p>
    <w:p w14:paraId="62E5239E" w14:textId="77777777" w:rsidR="00486E57" w:rsidRPr="00486E57" w:rsidRDefault="00486E57" w:rsidP="00486E57">
      <w:pPr>
        <w:spacing w:after="120" w:line="276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486E57">
        <w:rPr>
          <w:rFonts w:ascii="Segoe UI" w:eastAsia="Arial" w:hAnsi="Segoe UI" w:cs="Segoe UI"/>
          <w:b/>
          <w:bCs/>
          <w:color w:val="00DC00"/>
          <w:sz w:val="20"/>
          <w:szCs w:val="20"/>
        </w:rPr>
        <w:t>Symfonia</w:t>
      </w:r>
      <w:r w:rsidRPr="00486E57"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to polski producent oprogramowania, jeden z największych dostawców systemów ERP dla firm z sektora MŚP. Symfonia specjalizuje się w tworzeniu programów i aplikacji, w tym chmurowych, przeznaczonych do obsługi oraz automatyzacji finansów i księgowości, kadr i płac oraz HR, wsparcia sprzedaży (w tym w kanale e-commerce), zarządzania magazynem, zarządzania produkcją, elektronicznego obiegu dokumentów oraz analizy danych. Spółka świadczy także usługi wdrożeniowe, szkoleniowe oraz w zakresie wsparcia technicznego. Z rozwiązań Symfonii korzysta ponad 50 tysięcy mikro, małych i średnich firm oraz biur rachunkowych.</w:t>
      </w:r>
    </w:p>
    <w:p w14:paraId="0B9452EC" w14:textId="77777777" w:rsidR="00486E57" w:rsidRPr="00486E57" w:rsidRDefault="00486E57" w:rsidP="00486E57">
      <w:pPr>
        <w:spacing w:after="120" w:line="276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486E57"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Historia marki sięga 1995 roku, kiedy to na rynku pojawił się jeden z pierwszych w Polsce programów do zarządzania finansami i księgowością pod nazwą Symfonia. Spółka należy do funduszu Mid Europa Partners, wiodącego inwestora finansowego w Europie Centralnej i Południowo-Wschodniej.  </w:t>
      </w:r>
    </w:p>
    <w:p w14:paraId="543DD823" w14:textId="77777777" w:rsidR="00486E57" w:rsidRPr="00486E57" w:rsidRDefault="00486E57" w:rsidP="00486E57">
      <w:pPr>
        <w:spacing w:after="120" w:line="276" w:lineRule="auto"/>
        <w:rPr>
          <w:rFonts w:ascii="Segoe UI" w:eastAsia="Arial" w:hAnsi="Segoe UI" w:cs="Segoe UI"/>
          <w:color w:val="000000" w:themeColor="text1"/>
          <w:sz w:val="20"/>
          <w:szCs w:val="20"/>
        </w:rPr>
      </w:pPr>
      <w:r w:rsidRPr="00486E57"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Więcej na temat Symfonii na </w:t>
      </w:r>
      <w:hyperlink r:id="rId11">
        <w:r w:rsidRPr="00486E57">
          <w:rPr>
            <w:rStyle w:val="Hipercze"/>
            <w:rFonts w:ascii="Segoe UI" w:eastAsia="Arial" w:hAnsi="Segoe UI" w:cs="Segoe UI"/>
            <w:sz w:val="20"/>
            <w:szCs w:val="20"/>
          </w:rPr>
          <w:t>www.symfonia.pl,</w:t>
        </w:r>
      </w:hyperlink>
      <w:r w:rsidRPr="00486E57"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</w:t>
      </w:r>
      <w:hyperlink r:id="rId12">
        <w:r w:rsidRPr="00486E57">
          <w:rPr>
            <w:rStyle w:val="Hipercze"/>
            <w:rFonts w:ascii="Segoe UI" w:eastAsia="Arial" w:hAnsi="Segoe UI" w:cs="Segoe UI"/>
            <w:sz w:val="20"/>
            <w:szCs w:val="20"/>
          </w:rPr>
          <w:t>blogu</w:t>
        </w:r>
      </w:hyperlink>
      <w:r w:rsidRPr="00486E57"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, na profilach </w:t>
      </w:r>
      <w:hyperlink r:id="rId13">
        <w:r w:rsidRPr="00486E57">
          <w:rPr>
            <w:rStyle w:val="Hipercze"/>
            <w:rFonts w:ascii="Segoe UI" w:eastAsia="Arial" w:hAnsi="Segoe UI" w:cs="Segoe UI"/>
            <w:sz w:val="20"/>
            <w:szCs w:val="20"/>
          </w:rPr>
          <w:t>Facebook</w:t>
        </w:r>
      </w:hyperlink>
      <w:r w:rsidRPr="00486E57">
        <w:rPr>
          <w:rFonts w:ascii="Segoe UI" w:eastAsia="Arial" w:hAnsi="Segoe UI" w:cs="Segoe UI"/>
          <w:color w:val="000000" w:themeColor="text1"/>
          <w:sz w:val="20"/>
          <w:szCs w:val="20"/>
        </w:rPr>
        <w:t xml:space="preserve"> oraz </w:t>
      </w:r>
      <w:hyperlink r:id="rId14">
        <w:r w:rsidRPr="00486E57">
          <w:rPr>
            <w:rStyle w:val="Hipercze"/>
            <w:rFonts w:ascii="Segoe UI" w:eastAsia="Arial" w:hAnsi="Segoe UI" w:cs="Segoe UI"/>
            <w:sz w:val="20"/>
            <w:szCs w:val="20"/>
          </w:rPr>
          <w:t>LinkedIn</w:t>
        </w:r>
      </w:hyperlink>
      <w:r w:rsidRPr="00486E57">
        <w:rPr>
          <w:rFonts w:ascii="Segoe UI" w:eastAsia="Arial" w:hAnsi="Segoe UI" w:cs="Segoe UI"/>
          <w:color w:val="000000" w:themeColor="text1"/>
          <w:sz w:val="20"/>
          <w:szCs w:val="20"/>
        </w:rPr>
        <w:t>.</w:t>
      </w:r>
    </w:p>
    <w:p w14:paraId="16B93272" w14:textId="38A9BDDA" w:rsidR="00A50FC4" w:rsidRPr="00EF3C11" w:rsidRDefault="00A50FC4" w:rsidP="00A50FC4">
      <w:pPr>
        <w:jc w:val="both"/>
      </w:pPr>
    </w:p>
    <w:p w14:paraId="5279D150" w14:textId="77777777" w:rsidR="001E0BF2" w:rsidRDefault="001E0BF2" w:rsidP="001E0BF2"/>
    <w:p w14:paraId="265FD4FD" w14:textId="77777777" w:rsidR="001E0BF2" w:rsidRDefault="001E0BF2" w:rsidP="001E0BF2"/>
    <w:p w14:paraId="457AA91A" w14:textId="77777777" w:rsidR="001E0BF2" w:rsidRDefault="001E0BF2" w:rsidP="001E0BF2"/>
    <w:p w14:paraId="0DB63752" w14:textId="77777777" w:rsidR="001E0BF2" w:rsidRDefault="001E0BF2" w:rsidP="001E0BF2"/>
    <w:p w14:paraId="2274F558" w14:textId="77777777" w:rsidR="001E0BF2" w:rsidRDefault="001E0BF2" w:rsidP="001E0BF2"/>
    <w:p w14:paraId="7BF4FF6A" w14:textId="77777777" w:rsidR="001E0BF2" w:rsidRDefault="001E0BF2" w:rsidP="001E0BF2"/>
    <w:p w14:paraId="00F78C88" w14:textId="77777777" w:rsidR="001E0BF2" w:rsidRDefault="001E0BF2" w:rsidP="001E0BF2"/>
    <w:p w14:paraId="33D6FD2C" w14:textId="77777777" w:rsidR="001E0BF2" w:rsidRDefault="001E0BF2" w:rsidP="001E0BF2"/>
    <w:p w14:paraId="59BB4A90" w14:textId="77777777" w:rsidR="001E0BF2" w:rsidRDefault="001E0BF2" w:rsidP="001E0BF2"/>
    <w:p w14:paraId="012869E5" w14:textId="77777777" w:rsidR="001E0BF2" w:rsidRDefault="001E0BF2" w:rsidP="001E0BF2"/>
    <w:p w14:paraId="2764D7C1" w14:textId="77777777" w:rsidR="001E0BF2" w:rsidRPr="001E0BF2" w:rsidRDefault="001E0BF2" w:rsidP="001E0BF2"/>
    <w:sectPr w:rsidR="001E0BF2" w:rsidRPr="001E0BF2" w:rsidSect="00C02B1A">
      <w:headerReference w:type="default" r:id="rId15"/>
      <w:footerReference w:type="default" r:id="rId16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BD6E" w14:textId="77777777" w:rsidR="00AE1883" w:rsidRDefault="00AE1883" w:rsidP="00822FF9">
      <w:r>
        <w:separator/>
      </w:r>
    </w:p>
  </w:endnote>
  <w:endnote w:type="continuationSeparator" w:id="0">
    <w:p w14:paraId="44A4C4A7" w14:textId="77777777" w:rsidR="00AE1883" w:rsidRDefault="00AE1883" w:rsidP="0082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2376" w14:textId="77777777" w:rsidR="00586C35" w:rsidRDefault="00586C35"/>
  <w:tbl>
    <w:tblPr>
      <w:tblStyle w:val="Tabela-Siatka"/>
      <w:tblW w:w="9612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5416"/>
      <w:gridCol w:w="1701"/>
    </w:tblGrid>
    <w:tr w:rsidR="00586C35" w14:paraId="4F7D4968" w14:textId="77777777" w:rsidTr="00586C35">
      <w:trPr>
        <w:gridAfter w:val="1"/>
        <w:wAfter w:w="1701" w:type="dxa"/>
        <w:trHeight w:val="845"/>
      </w:trPr>
      <w:tc>
        <w:tcPr>
          <w:tcW w:w="2495" w:type="dxa"/>
        </w:tcPr>
        <w:p w14:paraId="2F39203D" w14:textId="77777777" w:rsidR="00586C35" w:rsidRPr="00486E57" w:rsidRDefault="00586C35" w:rsidP="00586C35">
          <w:pPr>
            <w:rPr>
              <w:b/>
              <w:bCs/>
              <w:color w:val="00DC00" w:themeColor="accent6"/>
              <w:sz w:val="18"/>
              <w:szCs w:val="18"/>
              <w:lang w:val="en-GB"/>
            </w:rPr>
          </w:pPr>
          <w:r w:rsidRPr="00486E57">
            <w:rPr>
              <w:b/>
              <w:bCs/>
              <w:color w:val="00DC00" w:themeColor="accent6"/>
              <w:sz w:val="18"/>
              <w:szCs w:val="18"/>
              <w:lang w:val="en-GB"/>
            </w:rPr>
            <w:t>www.symfonia.pl</w:t>
          </w:r>
        </w:p>
        <w:p w14:paraId="3D96A1BF" w14:textId="77777777" w:rsidR="00586C35" w:rsidRPr="00486E57" w:rsidRDefault="00586C35" w:rsidP="00586C35">
          <w:pPr>
            <w:rPr>
              <w:color w:val="00DC00" w:themeColor="accent6"/>
              <w:sz w:val="16"/>
              <w:szCs w:val="16"/>
              <w:lang w:val="en-GB"/>
            </w:rPr>
          </w:pPr>
          <w:r w:rsidRPr="00486E57">
            <w:rPr>
              <w:color w:val="808080" w:themeColor="text2"/>
              <w:sz w:val="18"/>
              <w:szCs w:val="18"/>
              <w:lang w:val="en-GB"/>
            </w:rPr>
            <w:t xml:space="preserve">Facebook  </w:t>
          </w:r>
          <w:r w:rsidRPr="00486E57">
            <w:rPr>
              <w:b/>
              <w:bCs/>
              <w:color w:val="808080" w:themeColor="text2"/>
              <w:sz w:val="18"/>
              <w:szCs w:val="18"/>
              <w:lang w:val="en-GB"/>
            </w:rPr>
            <w:t xml:space="preserve"> </w:t>
          </w:r>
          <w:r w:rsidRPr="00486E57">
            <w:rPr>
              <w:b/>
              <w:bCs/>
              <w:color w:val="00DC00" w:themeColor="accent6"/>
              <w:sz w:val="18"/>
              <w:szCs w:val="18"/>
              <w:lang w:val="en-GB"/>
            </w:rPr>
            <w:t>|</w:t>
          </w:r>
          <w:r w:rsidRPr="00486E57">
            <w:rPr>
              <w:color w:val="00DC00" w:themeColor="accent6"/>
              <w:sz w:val="18"/>
              <w:szCs w:val="18"/>
              <w:lang w:val="en-GB"/>
            </w:rPr>
            <w:t xml:space="preserve">   </w:t>
          </w:r>
          <w:r w:rsidRPr="00486E57">
            <w:rPr>
              <w:color w:val="808080" w:themeColor="text2"/>
              <w:sz w:val="18"/>
              <w:szCs w:val="18"/>
              <w:lang w:val="en-GB"/>
            </w:rPr>
            <w:t>LinkedIn</w:t>
          </w:r>
        </w:p>
      </w:tc>
      <w:tc>
        <w:tcPr>
          <w:tcW w:w="5416" w:type="dxa"/>
        </w:tcPr>
        <w:p w14:paraId="56C7F134" w14:textId="77777777" w:rsidR="00586C35" w:rsidRPr="00586C35" w:rsidRDefault="00586C35" w:rsidP="00586C35">
          <w:pPr>
            <w:rPr>
              <w:color w:val="808080" w:themeColor="text2"/>
              <w:sz w:val="18"/>
              <w:szCs w:val="18"/>
            </w:rPr>
          </w:pPr>
          <w:r w:rsidRPr="00C02B1A">
            <w:rPr>
              <w:color w:val="808080" w:themeColor="text2"/>
              <w:sz w:val="18"/>
              <w:szCs w:val="18"/>
            </w:rPr>
            <w:t xml:space="preserve">Symfonia Sp. z o.o. </w:t>
          </w:r>
          <w:r>
            <w:rPr>
              <w:color w:val="808080" w:themeColor="text2"/>
              <w:sz w:val="18"/>
              <w:szCs w:val="18"/>
            </w:rPr>
            <w:t xml:space="preserve"> </w:t>
          </w:r>
          <w:r w:rsidRPr="00C02B1A">
            <w:rPr>
              <w:color w:val="808080" w:themeColor="text2"/>
              <w:sz w:val="18"/>
              <w:szCs w:val="18"/>
            </w:rPr>
            <w:t>al. Jerozolimskie 132, 02-305 Warszawa</w:t>
          </w:r>
        </w:p>
      </w:tc>
    </w:tr>
    <w:tr w:rsidR="00C02B1A" w:rsidRPr="00282756" w14:paraId="0D475D27" w14:textId="77777777" w:rsidTr="00056632">
      <w:trPr>
        <w:trHeight w:val="548"/>
      </w:trPr>
      <w:tc>
        <w:tcPr>
          <w:tcW w:w="9612" w:type="dxa"/>
          <w:gridSpan w:val="3"/>
        </w:tcPr>
        <w:p w14:paraId="1475FBBE" w14:textId="77777777" w:rsidR="00C02B1A" w:rsidRPr="00C02B1A" w:rsidRDefault="00C02B1A" w:rsidP="00282756">
          <w:pPr>
            <w:rPr>
              <w:color w:val="808080" w:themeColor="text2"/>
              <w:sz w:val="12"/>
              <w:szCs w:val="12"/>
            </w:rPr>
          </w:pPr>
          <w:r w:rsidRPr="00C02B1A">
            <w:rPr>
              <w:color w:val="808080" w:themeColor="text2"/>
              <w:sz w:val="16"/>
              <w:szCs w:val="16"/>
            </w:rPr>
            <w:t>NIP 526-283-15-03, KRS 0000228956, Sąd Rejonowy dla m.st. Warszawy XII Wydział Gospodarczy Krajowego Rejestru Sądowego, Kapitał zakładowy w pełni opłacony 15 050 000 zł</w:t>
          </w:r>
        </w:p>
      </w:tc>
    </w:tr>
  </w:tbl>
  <w:p w14:paraId="05CD4C55" w14:textId="77777777" w:rsidR="00822FF9" w:rsidRPr="00282756" w:rsidRDefault="00822FF9" w:rsidP="00282756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EC97" w14:textId="77777777" w:rsidR="00AE1883" w:rsidRDefault="00AE1883" w:rsidP="00822FF9">
      <w:r>
        <w:separator/>
      </w:r>
    </w:p>
  </w:footnote>
  <w:footnote w:type="continuationSeparator" w:id="0">
    <w:p w14:paraId="18A79ABB" w14:textId="77777777" w:rsidR="00AE1883" w:rsidRDefault="00AE1883" w:rsidP="0082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0582" w14:textId="77777777" w:rsidR="001E0BF2" w:rsidRDefault="00C02B1A">
    <w:pPr>
      <w:pStyle w:val="Nagwek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F390450" wp14:editId="79676A71">
          <wp:simplePos x="0" y="0"/>
          <wp:positionH relativeFrom="column">
            <wp:posOffset>4505709</wp:posOffset>
          </wp:positionH>
          <wp:positionV relativeFrom="paragraph">
            <wp:posOffset>52705</wp:posOffset>
          </wp:positionV>
          <wp:extent cx="1591310" cy="279400"/>
          <wp:effectExtent l="0" t="0" r="8890" b="6350"/>
          <wp:wrapSquare wrapText="bothSides"/>
          <wp:docPr id="162" name="Obraz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756">
      <w:rPr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0F6B7B26" wp14:editId="29600B4A">
          <wp:simplePos x="0" y="0"/>
          <wp:positionH relativeFrom="page">
            <wp:posOffset>-88265</wp:posOffset>
          </wp:positionH>
          <wp:positionV relativeFrom="paragraph">
            <wp:posOffset>110328</wp:posOffset>
          </wp:positionV>
          <wp:extent cx="742950" cy="192405"/>
          <wp:effectExtent l="0" t="0" r="0" b="0"/>
          <wp:wrapSquare wrapText="bothSides"/>
          <wp:docPr id="163" name="Grafika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92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.2pt;height:45.6pt" o:bullet="t">
        <v:imagedata r:id="rId1" o:title="Bez nazwy-1-01"/>
      </v:shape>
    </w:pict>
  </w:numPicBullet>
  <w:abstractNum w:abstractNumId="0" w15:restartNumberingAfterBreak="0">
    <w:nsid w:val="FFFFFF7C"/>
    <w:multiLevelType w:val="singleLevel"/>
    <w:tmpl w:val="6BE48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1C1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20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45E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7E7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03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F41F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2C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06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BE9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79428A"/>
    <w:multiLevelType w:val="hybridMultilevel"/>
    <w:tmpl w:val="F25418E0"/>
    <w:lvl w:ilvl="0" w:tplc="CD9EE4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263F9"/>
    <w:multiLevelType w:val="hybridMultilevel"/>
    <w:tmpl w:val="4302F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91072"/>
    <w:multiLevelType w:val="hybridMultilevel"/>
    <w:tmpl w:val="31DAF1EE"/>
    <w:lvl w:ilvl="0" w:tplc="B5A6216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003683">
    <w:abstractNumId w:val="12"/>
  </w:num>
  <w:num w:numId="2" w16cid:durableId="1595477158">
    <w:abstractNumId w:val="10"/>
  </w:num>
  <w:num w:numId="3" w16cid:durableId="993677371">
    <w:abstractNumId w:val="11"/>
  </w:num>
  <w:num w:numId="4" w16cid:durableId="368258740">
    <w:abstractNumId w:val="8"/>
  </w:num>
  <w:num w:numId="5" w16cid:durableId="1237470159">
    <w:abstractNumId w:val="3"/>
  </w:num>
  <w:num w:numId="6" w16cid:durableId="1429152097">
    <w:abstractNumId w:val="2"/>
  </w:num>
  <w:num w:numId="7" w16cid:durableId="1900937432">
    <w:abstractNumId w:val="1"/>
  </w:num>
  <w:num w:numId="8" w16cid:durableId="1257132979">
    <w:abstractNumId w:val="0"/>
  </w:num>
  <w:num w:numId="9" w16cid:durableId="1866286345">
    <w:abstractNumId w:val="9"/>
  </w:num>
  <w:num w:numId="10" w16cid:durableId="446197562">
    <w:abstractNumId w:val="7"/>
  </w:num>
  <w:num w:numId="11" w16cid:durableId="1942105997">
    <w:abstractNumId w:val="6"/>
  </w:num>
  <w:num w:numId="12" w16cid:durableId="553810052">
    <w:abstractNumId w:val="5"/>
  </w:num>
  <w:num w:numId="13" w16cid:durableId="867062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C4"/>
    <w:rsid w:val="00021E27"/>
    <w:rsid w:val="000223C5"/>
    <w:rsid w:val="000364DB"/>
    <w:rsid w:val="0006112F"/>
    <w:rsid w:val="00072E9C"/>
    <w:rsid w:val="000762D5"/>
    <w:rsid w:val="000A3BC0"/>
    <w:rsid w:val="000A6DF0"/>
    <w:rsid w:val="000F3B56"/>
    <w:rsid w:val="000F6F94"/>
    <w:rsid w:val="00112E36"/>
    <w:rsid w:val="00123175"/>
    <w:rsid w:val="00134C74"/>
    <w:rsid w:val="001500B2"/>
    <w:rsid w:val="001C36DD"/>
    <w:rsid w:val="001E0BF2"/>
    <w:rsid w:val="001F7A07"/>
    <w:rsid w:val="00282756"/>
    <w:rsid w:val="002A1AA7"/>
    <w:rsid w:val="002A4694"/>
    <w:rsid w:val="003704A0"/>
    <w:rsid w:val="00381F35"/>
    <w:rsid w:val="003B46E6"/>
    <w:rsid w:val="003E4C5A"/>
    <w:rsid w:val="00486E57"/>
    <w:rsid w:val="00497BFB"/>
    <w:rsid w:val="004D4883"/>
    <w:rsid w:val="005044A5"/>
    <w:rsid w:val="00505469"/>
    <w:rsid w:val="00524BFB"/>
    <w:rsid w:val="0057144C"/>
    <w:rsid w:val="00586C35"/>
    <w:rsid w:val="00591B06"/>
    <w:rsid w:val="006131E3"/>
    <w:rsid w:val="00642AF2"/>
    <w:rsid w:val="007340E1"/>
    <w:rsid w:val="00756699"/>
    <w:rsid w:val="007923FA"/>
    <w:rsid w:val="007A0110"/>
    <w:rsid w:val="00822FF9"/>
    <w:rsid w:val="00836818"/>
    <w:rsid w:val="00896FB3"/>
    <w:rsid w:val="009232A6"/>
    <w:rsid w:val="009267B7"/>
    <w:rsid w:val="009E3B64"/>
    <w:rsid w:val="009E6D97"/>
    <w:rsid w:val="009F7250"/>
    <w:rsid w:val="00A50FC4"/>
    <w:rsid w:val="00A86823"/>
    <w:rsid w:val="00AE13FE"/>
    <w:rsid w:val="00AE1883"/>
    <w:rsid w:val="00AE7554"/>
    <w:rsid w:val="00B40E63"/>
    <w:rsid w:val="00BB6F67"/>
    <w:rsid w:val="00BE777F"/>
    <w:rsid w:val="00C02B1A"/>
    <w:rsid w:val="00CA3FA2"/>
    <w:rsid w:val="00CC00FC"/>
    <w:rsid w:val="00CC30DF"/>
    <w:rsid w:val="00D24BC7"/>
    <w:rsid w:val="00D718C3"/>
    <w:rsid w:val="00E317F5"/>
    <w:rsid w:val="00E35120"/>
    <w:rsid w:val="00EA4C8D"/>
    <w:rsid w:val="00F00437"/>
    <w:rsid w:val="00F147EE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9F3FE87"/>
  <w15:chartTrackingRefBased/>
  <w15:docId w15:val="{0197C471-50BD-4439-B05A-A2661732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C4"/>
  </w:style>
  <w:style w:type="paragraph" w:styleId="Nagwek1">
    <w:name w:val="heading 1"/>
    <w:basedOn w:val="Normalny"/>
    <w:next w:val="Normalny"/>
    <w:link w:val="Nagwek1Znak"/>
    <w:uiPriority w:val="9"/>
    <w:qFormat/>
    <w:rsid w:val="009E3B64"/>
    <w:pPr>
      <w:keepNext/>
      <w:keepLines/>
      <w:spacing w:before="240" w:after="0"/>
      <w:outlineLvl w:val="0"/>
    </w:pPr>
    <w:rPr>
      <w:rFonts w:ascii="Segoe UI" w:eastAsiaTheme="majorEastAsia" w:hAnsi="Segoe UI" w:cs="Segoe UI"/>
      <w:b/>
      <w:bCs/>
      <w:color w:val="000000" w:themeColor="text1"/>
      <w:sz w:val="144"/>
      <w:szCs w:val="1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3B64"/>
    <w:pPr>
      <w:keepNext/>
      <w:keepLines/>
      <w:spacing w:before="40" w:after="0"/>
      <w:outlineLvl w:val="1"/>
    </w:pPr>
    <w:rPr>
      <w:rFonts w:ascii="Segoe UI" w:eastAsiaTheme="majorEastAsia" w:hAnsi="Segoe UI" w:cs="Segoe UI"/>
      <w:b/>
      <w:bCs/>
      <w:color w:val="00DC00" w:themeColor="accent6"/>
      <w:sz w:val="72"/>
      <w:szCs w:val="7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822F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E43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D659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agwek4"/>
    <w:next w:val="Normalny"/>
    <w:link w:val="TytuZnak"/>
    <w:uiPriority w:val="10"/>
    <w:qFormat/>
    <w:rsid w:val="00822FF9"/>
    <w:pPr>
      <w:keepNext w:val="0"/>
      <w:keepLines w:val="0"/>
      <w:spacing w:before="0" w:after="160"/>
    </w:pPr>
    <w:rPr>
      <w:rFonts w:ascii="Segoe UI" w:eastAsiaTheme="minorHAnsi" w:hAnsi="Segoe UI" w:cs="Segoe UI"/>
      <w:b/>
      <w:bCs/>
      <w:i w:val="0"/>
      <w:iCs w:val="0"/>
      <w:color w:val="000000" w:themeColor="text1"/>
      <w:sz w:val="3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822FF9"/>
    <w:rPr>
      <w:rFonts w:ascii="Segoe UI" w:hAnsi="Segoe UI" w:cs="Segoe UI"/>
      <w:b/>
      <w:bCs/>
      <w:color w:val="000000" w:themeColor="text1"/>
      <w:sz w:val="36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FF9"/>
    <w:rPr>
      <w:rFonts w:asciiTheme="majorHAnsi" w:eastAsiaTheme="majorEastAsia" w:hAnsiTheme="majorHAnsi" w:cstheme="majorBidi"/>
      <w:i/>
      <w:iCs/>
      <w:color w:val="2D6595" w:themeColor="accent1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FF9"/>
    <w:rPr>
      <w:rFonts w:ascii="Segoe UI" w:hAnsi="Segoe UI" w:cs="Segoe UI"/>
      <w:b/>
      <w:bCs/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2FF9"/>
    <w:rPr>
      <w:rFonts w:ascii="Segoe UI" w:hAnsi="Segoe UI" w:cs="Segoe UI"/>
      <w:b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FF9"/>
    <w:rPr>
      <w:rFonts w:asciiTheme="majorHAnsi" w:eastAsiaTheme="majorEastAsia" w:hAnsiTheme="majorHAnsi" w:cstheme="majorBidi"/>
      <w:color w:val="1E4363" w:themeColor="accent1" w:themeShade="7F"/>
      <w:sz w:val="24"/>
      <w:szCs w:val="24"/>
    </w:rPr>
  </w:style>
  <w:style w:type="paragraph" w:customStyle="1" w:styleId="Podtytu2">
    <w:name w:val="Podtytuł 2"/>
    <w:basedOn w:val="Nagwek3"/>
    <w:qFormat/>
    <w:rsid w:val="00822FF9"/>
    <w:rPr>
      <w:rFonts w:ascii="Segoe UI" w:hAnsi="Segoe UI" w:cs="Segoe UI"/>
      <w:b/>
      <w:bCs/>
      <w:color w:val="00DC00" w:themeColor="accent6"/>
    </w:rPr>
  </w:style>
  <w:style w:type="paragraph" w:styleId="Nagwek">
    <w:name w:val="header"/>
    <w:basedOn w:val="Normalny"/>
    <w:link w:val="NagwekZnak"/>
    <w:uiPriority w:val="99"/>
    <w:unhideWhenUsed/>
    <w:rsid w:val="00822FF9"/>
    <w:pPr>
      <w:tabs>
        <w:tab w:val="center" w:pos="4536"/>
        <w:tab w:val="right" w:pos="9072"/>
      </w:tabs>
      <w:spacing w:after="0" w:line="240" w:lineRule="auto"/>
    </w:pPr>
    <w:rPr>
      <w:rFonts w:ascii="Segoe UI" w:hAnsi="Segoe UI" w:cs="Segoe UI"/>
    </w:rPr>
  </w:style>
  <w:style w:type="character" w:customStyle="1" w:styleId="NagwekZnak">
    <w:name w:val="Nagłówek Znak"/>
    <w:basedOn w:val="Domylnaczcionkaakapitu"/>
    <w:link w:val="Nagwek"/>
    <w:uiPriority w:val="99"/>
    <w:rsid w:val="00822FF9"/>
  </w:style>
  <w:style w:type="paragraph" w:styleId="Stopka">
    <w:name w:val="footer"/>
    <w:basedOn w:val="Normalny"/>
    <w:link w:val="StopkaZnak"/>
    <w:uiPriority w:val="99"/>
    <w:unhideWhenUsed/>
    <w:rsid w:val="00822FF9"/>
    <w:pPr>
      <w:tabs>
        <w:tab w:val="center" w:pos="4536"/>
        <w:tab w:val="right" w:pos="9072"/>
      </w:tabs>
      <w:spacing w:after="0" w:line="240" w:lineRule="auto"/>
    </w:pPr>
    <w:rPr>
      <w:rFonts w:ascii="Segoe UI" w:hAnsi="Segoe UI" w:cs="Segoe UI"/>
    </w:rPr>
  </w:style>
  <w:style w:type="character" w:customStyle="1" w:styleId="StopkaZnak">
    <w:name w:val="Stopka Znak"/>
    <w:basedOn w:val="Domylnaczcionkaakapitu"/>
    <w:link w:val="Stopka"/>
    <w:uiPriority w:val="99"/>
    <w:rsid w:val="00822FF9"/>
  </w:style>
  <w:style w:type="paragraph" w:styleId="Akapitzlist">
    <w:name w:val="List Paragraph"/>
    <w:basedOn w:val="Normalny"/>
    <w:uiPriority w:val="34"/>
    <w:qFormat/>
    <w:rsid w:val="00822FF9"/>
    <w:pPr>
      <w:ind w:left="708"/>
      <w:contextualSpacing/>
    </w:pPr>
    <w:rPr>
      <w:rFonts w:ascii="Segoe UI" w:hAnsi="Segoe UI" w:cs="Segoe UI"/>
    </w:rPr>
  </w:style>
  <w:style w:type="table" w:styleId="Tabela-Siatka">
    <w:name w:val="Table Grid"/>
    <w:basedOn w:val="Standardowy"/>
    <w:uiPriority w:val="39"/>
    <w:rsid w:val="0082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6">
    <w:name w:val="List Table 3 Accent 6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00DC00" w:themeColor="accent6"/>
        <w:left w:val="single" w:sz="4" w:space="0" w:color="00DC00" w:themeColor="accent6"/>
        <w:bottom w:val="single" w:sz="4" w:space="0" w:color="00DC00" w:themeColor="accent6"/>
        <w:right w:val="single" w:sz="4" w:space="0" w:color="00DC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00" w:themeFill="accent6"/>
      </w:tcPr>
    </w:tblStylePr>
    <w:tblStylePr w:type="lastRow">
      <w:rPr>
        <w:b/>
        <w:bCs/>
      </w:rPr>
      <w:tblPr/>
      <w:tcPr>
        <w:tcBorders>
          <w:top w:val="double" w:sz="4" w:space="0" w:color="00DC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00" w:themeColor="accent6"/>
          <w:right w:val="single" w:sz="4" w:space="0" w:color="00DC00" w:themeColor="accent6"/>
        </w:tcBorders>
      </w:tcPr>
    </w:tblStylePr>
    <w:tblStylePr w:type="band1Horz">
      <w:tblPr/>
      <w:tcPr>
        <w:tcBorders>
          <w:top w:val="single" w:sz="4" w:space="0" w:color="00DC00" w:themeColor="accent6"/>
          <w:bottom w:val="single" w:sz="4" w:space="0" w:color="00DC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00" w:themeColor="accent6"/>
          <w:left w:val="nil"/>
        </w:tcBorders>
      </w:tcPr>
    </w:tblStylePr>
    <w:tblStylePr w:type="swCell">
      <w:tblPr/>
      <w:tcPr>
        <w:tcBorders>
          <w:top w:val="double" w:sz="4" w:space="0" w:color="00DC00" w:themeColor="accent6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3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3"/>
          <w:right w:val="single" w:sz="4" w:space="0" w:color="808080" w:themeColor="accent3"/>
        </w:tcBorders>
      </w:tcPr>
    </w:tblStylePr>
    <w:tblStylePr w:type="band1Horz">
      <w:tblPr/>
      <w:tcPr>
        <w:tcBorders>
          <w:top w:val="single" w:sz="4" w:space="0" w:color="808080" w:themeColor="accent3"/>
          <w:bottom w:val="single" w:sz="4" w:space="0" w:color="8080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3"/>
          <w:left w:val="nil"/>
        </w:tcBorders>
      </w:tcPr>
    </w:tblStylePr>
    <w:tblStylePr w:type="swCell">
      <w:tblPr/>
      <w:tcPr>
        <w:tcBorders>
          <w:top w:val="double" w:sz="4" w:space="0" w:color="808080" w:themeColor="accent3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2E294E" w:themeColor="accent2"/>
        <w:left w:val="single" w:sz="4" w:space="0" w:color="2E294E" w:themeColor="accent2"/>
        <w:bottom w:val="single" w:sz="4" w:space="0" w:color="2E294E" w:themeColor="accent2"/>
        <w:right w:val="single" w:sz="4" w:space="0" w:color="2E29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294E" w:themeFill="accent2"/>
      </w:tcPr>
    </w:tblStylePr>
    <w:tblStylePr w:type="lastRow">
      <w:rPr>
        <w:b/>
        <w:bCs/>
      </w:rPr>
      <w:tblPr/>
      <w:tcPr>
        <w:tcBorders>
          <w:top w:val="double" w:sz="4" w:space="0" w:color="2E29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294E" w:themeColor="accent2"/>
          <w:right w:val="single" w:sz="4" w:space="0" w:color="2E294E" w:themeColor="accent2"/>
        </w:tcBorders>
      </w:tcPr>
    </w:tblStylePr>
    <w:tblStylePr w:type="band1Horz">
      <w:tblPr/>
      <w:tcPr>
        <w:tcBorders>
          <w:top w:val="single" w:sz="4" w:space="0" w:color="2E294E" w:themeColor="accent2"/>
          <w:bottom w:val="single" w:sz="4" w:space="0" w:color="2E29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294E" w:themeColor="accent2"/>
          <w:left w:val="nil"/>
        </w:tcBorders>
      </w:tcPr>
    </w:tblStylePr>
    <w:tblStylePr w:type="swCell">
      <w:tblPr/>
      <w:tcPr>
        <w:tcBorders>
          <w:top w:val="double" w:sz="4" w:space="0" w:color="2E294E" w:themeColor="accent2"/>
          <w:right w:val="nil"/>
        </w:tcBorders>
      </w:tcPr>
    </w:tblStylePr>
  </w:style>
  <w:style w:type="table" w:styleId="Tabelalisty3">
    <w:name w:val="List Table 3"/>
    <w:basedOn w:val="Standardowy"/>
    <w:uiPriority w:val="48"/>
    <w:rsid w:val="00822F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072E9C"/>
    <w:pPr>
      <w:jc w:val="right"/>
    </w:pPr>
    <w:rPr>
      <w:rFonts w:ascii="Segoe UI" w:hAnsi="Segoe UI" w:cs="Segoe UI"/>
      <w:color w:val="808080" w:themeColor="accent3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591B06"/>
    <w:pPr>
      <w:spacing w:before="200"/>
      <w:ind w:right="864"/>
    </w:pPr>
    <w:rPr>
      <w:rFonts w:ascii="Segoe UI" w:hAnsi="Segoe UI" w:cs="Segoe UI"/>
      <w:i/>
      <w:iCs/>
      <w:color w:val="DA3E52" w:themeColor="accent4"/>
      <w:sz w:val="32"/>
      <w:szCs w:val="32"/>
    </w:rPr>
  </w:style>
  <w:style w:type="character" w:customStyle="1" w:styleId="CytatZnak">
    <w:name w:val="Cytat Znak"/>
    <w:basedOn w:val="Domylnaczcionkaakapitu"/>
    <w:link w:val="Cytat"/>
    <w:uiPriority w:val="29"/>
    <w:rsid w:val="00591B06"/>
    <w:rPr>
      <w:rFonts w:ascii="Segoe UI" w:hAnsi="Segoe UI" w:cs="Segoe UI"/>
      <w:i/>
      <w:iCs/>
      <w:color w:val="DA3E52" w:themeColor="accent4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91B06"/>
    <w:rPr>
      <w:color w:val="3F88C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B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unhideWhenUsed/>
    <w:rsid w:val="000A6DF0"/>
    <w:rPr>
      <w:color w:val="8D80AD" w:themeColor="accent5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3B64"/>
    <w:rPr>
      <w:rFonts w:ascii="Segoe UI" w:eastAsiaTheme="majorEastAsia" w:hAnsi="Segoe UI" w:cs="Segoe UI"/>
      <w:b/>
      <w:bCs/>
      <w:color w:val="000000" w:themeColor="text1"/>
      <w:sz w:val="144"/>
      <w:szCs w:val="144"/>
    </w:rPr>
  </w:style>
  <w:style w:type="character" w:customStyle="1" w:styleId="Nagwek2Znak">
    <w:name w:val="Nagłówek 2 Znak"/>
    <w:basedOn w:val="Domylnaczcionkaakapitu"/>
    <w:link w:val="Nagwek2"/>
    <w:uiPriority w:val="9"/>
    <w:rsid w:val="009E3B64"/>
    <w:rPr>
      <w:rFonts w:ascii="Segoe UI" w:eastAsiaTheme="majorEastAsia" w:hAnsi="Segoe UI" w:cs="Segoe UI"/>
      <w:b/>
      <w:bCs/>
      <w:color w:val="00DC00" w:themeColor="accent6"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0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F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ymfonia.pl/hr/symfonia-sniadania-hr-spotkanie-na-zywo-w-gdansku/" TargetMode="External"/><Relationship Id="rId13" Type="http://schemas.openxmlformats.org/officeDocument/2006/relationships/hyperlink" Target="https://www.facebook.com/symfonia.oprogramowan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symfonia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symfoni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ta.trzepla@mondaygro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.ziebka@symfonia.pl" TargetMode="External"/><Relationship Id="rId14" Type="http://schemas.openxmlformats.org/officeDocument/2006/relationships/hyperlink" Target="https://www.linkedin.com/company/symfonia-oprogramowan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zep\Documents\MondayPR\SYMFONIA\RAPORT_Cyfryzacja\Symfonia%20-%20szablon%20papieru%20firmowego%20bez%20znaku%20wodnego.dotx" TargetMode="External"/></Relationships>
</file>

<file path=word/theme/theme1.xml><?xml version="1.0" encoding="utf-8"?>
<a:theme xmlns:a="http://schemas.openxmlformats.org/drawingml/2006/main" name="Motyw pakietu Office">
  <a:themeElements>
    <a:clrScheme name="Symfonia kolory">
      <a:dk1>
        <a:srgbClr val="000000"/>
      </a:dk1>
      <a:lt1>
        <a:sysClr val="window" lastClr="FFFFFF"/>
      </a:lt1>
      <a:dk2>
        <a:srgbClr val="808080"/>
      </a:dk2>
      <a:lt2>
        <a:srgbClr val="E7E6E6"/>
      </a:lt2>
      <a:accent1>
        <a:srgbClr val="3F88C5"/>
      </a:accent1>
      <a:accent2>
        <a:srgbClr val="2E294E"/>
      </a:accent2>
      <a:accent3>
        <a:srgbClr val="808080"/>
      </a:accent3>
      <a:accent4>
        <a:srgbClr val="DA3E52"/>
      </a:accent4>
      <a:accent5>
        <a:srgbClr val="8D80AD"/>
      </a:accent5>
      <a:accent6>
        <a:srgbClr val="00DC00"/>
      </a:accent6>
      <a:hlink>
        <a:srgbClr val="3F88C5"/>
      </a:hlink>
      <a:folHlink>
        <a:srgbClr val="8D80A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F612-B2A8-477B-92AF-7EC935FF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Symfonia - szablon papieru firmowego bez znaku wodnego.dotx</Template>
  <TotalTime>75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Polakiewicz - Sobczuk</dc:creator>
  <cp:keywords/>
  <dc:description/>
  <cp:lastModifiedBy>Marta Trzepla</cp:lastModifiedBy>
  <cp:revision>21</cp:revision>
  <dcterms:created xsi:type="dcterms:W3CDTF">2022-09-08T20:54:00Z</dcterms:created>
  <dcterms:modified xsi:type="dcterms:W3CDTF">2022-09-12T10:27:00Z</dcterms:modified>
</cp:coreProperties>
</file>